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sz w:val="20"/>
          <w:szCs w:val="20"/>
        </w:rPr>
      </w:pPr>
      <w:r w:rsidDel="00000000" w:rsidR="00000000" w:rsidRPr="00000000">
        <w:rPr>
          <w:sz w:val="20"/>
          <w:szCs w:val="20"/>
          <w:rtl w:val="0"/>
        </w:rPr>
        <w:t xml:space="preserve">*The intent of this product is to be a resource; not a replacement for institutional protocols. Standard 1 of AmSECT’s Standards and Guidelines for Perfusion Practice.</w:t>
      </w:r>
      <w:r w:rsidDel="00000000" w:rsidR="00000000" w:rsidRPr="00000000">
        <w:rPr>
          <w:sz w:val="20"/>
          <w:szCs w:val="20"/>
          <w:vertAlign w:val="superscript"/>
          <w:rtl w:val="0"/>
        </w:rPr>
        <w:t xml:space="preserve">1 </w:t>
      </w:r>
      <w:r w:rsidDel="00000000" w:rsidR="00000000" w:rsidRPr="00000000">
        <w:rPr>
          <w:sz w:val="20"/>
          <w:szCs w:val="20"/>
          <w:rtl w:val="0"/>
        </w:rPr>
        <w:t xml:space="preserve">These Standards and Guidelines may also be superseded by the judgement of the healthcare professional taking into account the facts and circumstances of the individual case.</w:t>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Ind w:w="0.0" w:type="dxa"/>
        <w:tblLayout w:type="fixed"/>
        <w:tblLook w:val="0000"/>
      </w:tblPr>
      <w:tblGrid>
        <w:gridCol w:w="2069"/>
        <w:gridCol w:w="811"/>
        <w:gridCol w:w="6480"/>
        <w:tblGridChange w:id="0">
          <w:tblGrid>
            <w:gridCol w:w="2069"/>
            <w:gridCol w:w="811"/>
            <w:gridCol w:w="6480"/>
          </w:tblGrid>
        </w:tblGridChange>
      </w:tblGrid>
      <w:tr>
        <w:trPr>
          <w:trHeight w:val="238" w:hRule="atLeast"/>
        </w:trPr>
        <w:tc>
          <w:tcPr/>
          <w:p w:rsidR="00000000" w:rsidDel="00000000" w:rsidP="00000000" w:rsidRDefault="00000000" w:rsidRPr="00000000" w14:paraId="00000004">
            <w:pPr>
              <w:ind w:left="-108" w:firstLine="0"/>
              <w:rPr>
                <w:b w:val="1"/>
              </w:rPr>
            </w:pPr>
            <w:r w:rsidDel="00000000" w:rsidR="00000000" w:rsidRPr="00000000">
              <w:rPr>
                <w:b w:val="1"/>
                <w:rtl w:val="0"/>
              </w:rPr>
              <w:t xml:space="preserve">SUBJECT/TITLE</w:t>
            </w:r>
          </w:p>
        </w:tc>
        <w:tc>
          <w:tcPr>
            <w:gridSpan w:val="2"/>
          </w:tcPr>
          <w:p w:rsidR="00000000" w:rsidDel="00000000" w:rsidP="00000000" w:rsidRDefault="00000000" w:rsidRPr="00000000" w14:paraId="00000005">
            <w:pPr>
              <w:rPr>
                <w:b w:val="1"/>
              </w:rPr>
            </w:pPr>
            <w:r w:rsidDel="00000000" w:rsidR="00000000" w:rsidRPr="00000000">
              <w:rPr>
                <w:b w:val="1"/>
                <w:rtl w:val="0"/>
              </w:rPr>
              <w:t xml:space="preserve">Antiphospholipid Syndrome (APS)</w:t>
            </w:r>
          </w:p>
        </w:tc>
      </w:tr>
      <w:tr>
        <w:trPr>
          <w:trHeight w:val="238" w:hRule="atLeast"/>
        </w:trPr>
        <w:tc>
          <w:tcPr/>
          <w:p w:rsidR="00000000" w:rsidDel="00000000" w:rsidP="00000000" w:rsidRDefault="00000000" w:rsidRPr="00000000" w14:paraId="00000007">
            <w:pPr>
              <w:ind w:left="-108" w:firstLine="0"/>
              <w:rPr>
                <w:b w:val="1"/>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tc>
      </w:tr>
      <w:tr>
        <w:trPr>
          <w:trHeight w:val="238" w:hRule="atLeast"/>
        </w:trPr>
        <w:tc>
          <w:tcPr/>
          <w:p w:rsidR="00000000" w:rsidDel="00000000" w:rsidP="00000000" w:rsidRDefault="00000000" w:rsidRPr="00000000" w14:paraId="0000000A">
            <w:pPr>
              <w:ind w:left="-108" w:firstLine="0"/>
              <w:rPr>
                <w:b w:val="1"/>
              </w:rPr>
            </w:pPr>
            <w:r w:rsidDel="00000000" w:rsidR="00000000" w:rsidRPr="00000000">
              <w:rPr>
                <w:b w:val="1"/>
                <w:rtl w:val="0"/>
              </w:rPr>
              <w:t xml:space="preserve">PURPOSE:</w:t>
            </w:r>
          </w:p>
        </w:tc>
        <w:tc>
          <w:tcPr>
            <w:gridSpan w:val="2"/>
          </w:tcPr>
          <w:p w:rsidR="00000000" w:rsidDel="00000000" w:rsidP="00000000" w:rsidRDefault="00000000" w:rsidRPr="00000000" w14:paraId="0000000B">
            <w:pPr>
              <w:pStyle w:val="Heading4"/>
              <w:rPr>
                <w:i w:val="0"/>
                <w:color w:val="000000"/>
              </w:rPr>
            </w:pPr>
            <w:bookmarkStart w:colFirst="0" w:colLast="0" w:name="_heading=h.sthguzivh38i" w:id="0"/>
            <w:bookmarkEnd w:id="0"/>
            <w:r w:rsidDel="00000000" w:rsidR="00000000" w:rsidRPr="00000000">
              <w:rPr>
                <w:i w:val="0"/>
                <w:color w:val="000000"/>
                <w:rtl w:val="0"/>
              </w:rPr>
              <w:t xml:space="preserve">To provide a guideline and resource for the diagnosis and</w:t>
            </w:r>
          </w:p>
          <w:p w:rsidR="00000000" w:rsidDel="00000000" w:rsidP="00000000" w:rsidRDefault="00000000" w:rsidRPr="00000000" w14:paraId="0000000C">
            <w:pPr>
              <w:pStyle w:val="Heading4"/>
              <w:rPr>
                <w:i w:val="0"/>
                <w:color w:val="000000"/>
              </w:rPr>
            </w:pPr>
            <w:bookmarkStart w:colFirst="0" w:colLast="0" w:name="_heading=h.p5cs07fyxxos" w:id="1"/>
            <w:bookmarkEnd w:id="1"/>
            <w:r w:rsidDel="00000000" w:rsidR="00000000" w:rsidRPr="00000000">
              <w:rPr>
                <w:i w:val="0"/>
                <w:color w:val="000000"/>
                <w:rtl w:val="0"/>
              </w:rPr>
              <w:t xml:space="preserve">treatment of antiphospholipid syndrome.</w:t>
            </w:r>
          </w:p>
        </w:tc>
      </w:tr>
      <w:tr>
        <w:trPr>
          <w:trHeight w:val="238" w:hRule="atLeast"/>
        </w:trPr>
        <w:tc>
          <w:tcPr/>
          <w:p w:rsidR="00000000" w:rsidDel="00000000" w:rsidP="00000000" w:rsidRDefault="00000000" w:rsidRPr="00000000" w14:paraId="0000000E">
            <w:pPr>
              <w:ind w:left="-108" w:firstLine="0"/>
              <w:rPr>
                <w:b w:val="1"/>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r>
      <w:tr>
        <w:trPr>
          <w:trHeight w:val="477" w:hRule="atLeast"/>
        </w:trPr>
        <w:tc>
          <w:tcPr/>
          <w:p w:rsidR="00000000" w:rsidDel="00000000" w:rsidP="00000000" w:rsidRDefault="00000000" w:rsidRPr="00000000" w14:paraId="00000011">
            <w:pPr>
              <w:widowControl w:val="0"/>
              <w:tabs>
                <w:tab w:val="left" w:pos="576"/>
              </w:tabs>
              <w:ind w:left="-108" w:firstLine="0"/>
              <w:rPr>
                <w:b w:val="1"/>
              </w:rPr>
            </w:pPr>
            <w:r w:rsidDel="00000000" w:rsidR="00000000" w:rsidRPr="00000000">
              <w:rPr>
                <w:b w:val="1"/>
                <w:rtl w:val="0"/>
              </w:rPr>
              <w:t xml:space="preserve">TARGET POPULATION:</w:t>
            </w:r>
          </w:p>
        </w:tc>
        <w:tc>
          <w:tcPr>
            <w:gridSpan w:val="2"/>
          </w:tcPr>
          <w:p w:rsidR="00000000" w:rsidDel="00000000" w:rsidP="00000000" w:rsidRDefault="00000000" w:rsidRPr="00000000" w14:paraId="00000012">
            <w:pPr>
              <w:rPr/>
            </w:pPr>
            <w:r w:rsidDel="00000000" w:rsidR="00000000" w:rsidRPr="00000000">
              <w:rPr>
                <w:rtl w:val="0"/>
              </w:rPr>
              <w:t xml:space="preserve">Patients with Antiphospholipid Syndrome.</w:t>
            </w:r>
          </w:p>
        </w:tc>
      </w:tr>
      <w:tr>
        <w:trPr>
          <w:trHeight w:val="238" w:hRule="atLeast"/>
        </w:trPr>
        <w:tc>
          <w:tcPr/>
          <w:p w:rsidR="00000000" w:rsidDel="00000000" w:rsidP="00000000" w:rsidRDefault="00000000" w:rsidRPr="00000000" w14:paraId="00000014">
            <w:pPr>
              <w:ind w:left="-108" w:firstLine="0"/>
              <w:rPr>
                <w:b w:val="1"/>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r>
      <w:tr>
        <w:trPr>
          <w:trHeight w:val="2190" w:hRule="atLeast"/>
        </w:trPr>
        <w:tc>
          <w:tcPr/>
          <w:p w:rsidR="00000000" w:rsidDel="00000000" w:rsidP="00000000" w:rsidRDefault="00000000" w:rsidRPr="00000000" w14:paraId="00000017">
            <w:pPr>
              <w:ind w:left="-108" w:firstLine="0"/>
              <w:rPr>
                <w:b w:val="1"/>
              </w:rPr>
            </w:pPr>
            <w:r w:rsidDel="00000000" w:rsidR="00000000" w:rsidRPr="00000000">
              <w:rPr>
                <w:b w:val="1"/>
                <w:rtl w:val="0"/>
              </w:rPr>
              <w:t xml:space="preserve">DEFINITIONS:</w:t>
            </w:r>
          </w:p>
        </w:tc>
        <w:tc>
          <w:tcPr>
            <w:gridSpan w:val="2"/>
          </w:tcPr>
          <w:p w:rsidR="00000000" w:rsidDel="00000000" w:rsidP="00000000" w:rsidRDefault="00000000" w:rsidRPr="00000000" w14:paraId="00000018">
            <w:pPr>
              <w:rPr/>
            </w:pPr>
            <w:r w:rsidDel="00000000" w:rsidR="00000000" w:rsidRPr="00000000">
              <w:rPr>
                <w:rtl w:val="0"/>
              </w:rPr>
              <w:t xml:space="preserve">A phospholipid is a type of lipid molecule that is the main component of the cell membrane. Phospholipids are very prevalent, found in all cell membranes, including red blood cells and the endothelial vessel lining.</w:t>
            </w:r>
          </w:p>
          <w:p w:rsidR="00000000" w:rsidDel="00000000" w:rsidP="00000000" w:rsidRDefault="00000000" w:rsidRPr="00000000" w14:paraId="00000019">
            <w:pPr>
              <w:rPr/>
            </w:pPr>
            <w:r w:rsidDel="00000000" w:rsidR="00000000" w:rsidRPr="00000000">
              <w:rPr>
                <w:rtl w:val="0"/>
              </w:rPr>
              <w:t xml:space="preserve">Antiphospholipid syndrome (APS) is an autoimmune disorder wherein the body produces antibodies that attack phospholipids.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APS occurs in 1-5% of the population, with half of these patients suffering also from other additional autoimmune disorders. </w:t>
            </w:r>
          </w:p>
          <w:p w:rsidR="00000000" w:rsidDel="00000000" w:rsidP="00000000" w:rsidRDefault="00000000" w:rsidRPr="00000000" w14:paraId="0000001C">
            <w:pPr>
              <w:rPr/>
            </w:pPr>
            <w:r w:rsidDel="00000000" w:rsidR="00000000" w:rsidRPr="00000000">
              <w:rPr>
                <w:rtl w:val="0"/>
              </w:rPr>
              <w:t xml:space="preserve">APS is a pro-inflammatory, prothrombotic state. A typical “APS cycle” starts with antibodies attacking phospholipids which damage cells and vessel linings which cause clot formation in response to injury. This in turn furthers the attack on those phospholipids and creates a massive clot formation and vessel occlusion.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Severity of the complication depends on location of the thrombus and degree of obstruction in the vessel or organ.</w:t>
            </w:r>
          </w:p>
          <w:p w:rsidR="00000000" w:rsidDel="00000000" w:rsidP="00000000" w:rsidRDefault="00000000" w:rsidRPr="00000000" w14:paraId="0000001F">
            <w:pPr>
              <w:rPr/>
            </w:pPr>
            <w:r w:rsidDel="00000000" w:rsidR="00000000" w:rsidRPr="00000000">
              <w:rPr>
                <w:rtl w:val="0"/>
              </w:rPr>
              <w:t xml:space="preserve">Symptoms/presentation: During an APS “cycle”</w:t>
            </w:r>
          </w:p>
          <w:p w:rsidR="00000000" w:rsidDel="00000000" w:rsidP="00000000" w:rsidRDefault="00000000" w:rsidRPr="00000000" w14:paraId="00000020">
            <w:pPr>
              <w:numPr>
                <w:ilvl w:val="0"/>
                <w:numId w:val="10"/>
              </w:numPr>
              <w:ind w:left="720" w:hanging="360"/>
              <w:rPr>
                <w:u w:val="none"/>
              </w:rPr>
            </w:pPr>
            <w:r w:rsidDel="00000000" w:rsidR="00000000" w:rsidRPr="00000000">
              <w:rPr>
                <w:rtl w:val="0"/>
              </w:rPr>
              <w:t xml:space="preserve">Thrombocytopenia is common because the APS antibodies cause destruction to the platelets. In addition, the platelet count will be low due to the normal usage during the clotting process.</w:t>
            </w:r>
            <w:r w:rsidDel="00000000" w:rsidR="00000000" w:rsidRPr="00000000">
              <w:rPr>
                <w:rtl w:val="0"/>
              </w:rPr>
            </w:r>
          </w:p>
          <w:p w:rsidR="00000000" w:rsidDel="00000000" w:rsidP="00000000" w:rsidRDefault="00000000" w:rsidRPr="00000000" w14:paraId="00000021">
            <w:pPr>
              <w:numPr>
                <w:ilvl w:val="0"/>
                <w:numId w:val="10"/>
              </w:numPr>
              <w:ind w:left="720" w:hanging="360"/>
              <w:rPr>
                <w:u w:val="none"/>
              </w:rPr>
            </w:pPr>
            <w:r w:rsidDel="00000000" w:rsidR="00000000" w:rsidRPr="00000000">
              <w:rPr>
                <w:rtl w:val="0"/>
              </w:rPr>
              <w:t xml:space="preserve">Patients often present with PE, DVT, Stroke, or MI. Valve vegetation is also common because stress/turbulent flow around valve leaflets cause trauma, exposing the phospholipids and activating clot aggregation.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APS Triggers of Thrombotic events:</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High cholesterol, immobility (bed rest), smoking, or surgery (CPB)</w:t>
            </w:r>
            <w:r w:rsidDel="00000000" w:rsidR="00000000" w:rsidRPr="00000000">
              <w:rPr>
                <w:rtl w:val="0"/>
              </w:rPr>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60% of APS patients have post-op complications such as valve restenosis, early graft occlusion, CVA, PE, Limb ischemia.</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Complications:</w:t>
            </w:r>
          </w:p>
          <w:p w:rsidR="00000000" w:rsidDel="00000000" w:rsidP="00000000" w:rsidRDefault="00000000" w:rsidRPr="00000000" w14:paraId="00000026">
            <w:pPr>
              <w:numPr>
                <w:ilvl w:val="0"/>
                <w:numId w:val="9"/>
              </w:numPr>
              <w:ind w:left="720" w:hanging="360"/>
              <w:rPr>
                <w:u w:val="none"/>
              </w:rPr>
            </w:pPr>
            <w:r w:rsidDel="00000000" w:rsidR="00000000" w:rsidRPr="00000000">
              <w:rPr>
                <w:rtl w:val="0"/>
              </w:rPr>
              <w:t xml:space="preserve">Catastrophic APS occurs when repeated clotting events occur in a short time due to multiple insults and can cause damage to multiple organs.</w:t>
            </w:r>
            <w:r w:rsidDel="00000000" w:rsidR="00000000" w:rsidRPr="00000000">
              <w:rPr>
                <w:rtl w:val="0"/>
              </w:rPr>
            </w:r>
          </w:p>
          <w:p w:rsidR="00000000" w:rsidDel="00000000" w:rsidP="00000000" w:rsidRDefault="00000000" w:rsidRPr="00000000" w14:paraId="00000027">
            <w:pPr>
              <w:numPr>
                <w:ilvl w:val="0"/>
                <w:numId w:val="9"/>
              </w:numPr>
              <w:ind w:left="720" w:hanging="360"/>
              <w:rPr>
                <w:u w:val="none"/>
              </w:rPr>
            </w:pPr>
            <w:r w:rsidDel="00000000" w:rsidR="00000000" w:rsidRPr="00000000">
              <w:rPr>
                <w:rtl w:val="0"/>
              </w:rPr>
              <w:t xml:space="preserve">Catastrophic APS has a 50% mortality rate and is more common on CPB cases where it was previously undiagnosed and no special measures were taken.</w:t>
            </w:r>
            <w:r w:rsidDel="00000000" w:rsidR="00000000" w:rsidRPr="00000000">
              <w:rPr>
                <w:rtl w:val="0"/>
              </w:rPr>
            </w:r>
          </w:p>
          <w:p w:rsidR="00000000" w:rsidDel="00000000" w:rsidP="00000000" w:rsidRDefault="00000000" w:rsidRPr="00000000" w14:paraId="00000028">
            <w:pPr>
              <w:numPr>
                <w:ilvl w:val="0"/>
                <w:numId w:val="9"/>
              </w:numPr>
              <w:ind w:left="720" w:hanging="360"/>
              <w:rPr>
                <w:u w:val="none"/>
              </w:rPr>
            </w:pPr>
            <w:r w:rsidDel="00000000" w:rsidR="00000000" w:rsidRPr="00000000">
              <w:rPr>
                <w:rtl w:val="0"/>
              </w:rPr>
              <w:t xml:space="preserve">Most APS patients are undiagnosed, since diagnosis takes two positive samples at least 12 weeks apart, which isn’t feasible in urgent cases.</w:t>
            </w:r>
            <w:r w:rsidDel="00000000" w:rsidR="00000000" w:rsidRPr="00000000">
              <w:rPr>
                <w:rtl w:val="0"/>
              </w:rPr>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Unfortunately, with APS, coagulation tests are misleading. The antiphospholipid antibodies bind to the phospholipid sites leaving few binding sites for the protein in these coagulation tests. This creates a false negative, reading normal or hypo-coagulable instead of the true coagulopathy.</w:t>
            </w:r>
            <w:r w:rsidDel="00000000" w:rsidR="00000000" w:rsidRPr="00000000">
              <w:rPr>
                <w:rtl w:val="0"/>
              </w:rPr>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Tests that do work: PTT, HepXa, Heparin concentration dose response</w:t>
            </w:r>
            <w:r w:rsidDel="00000000" w:rsidR="00000000" w:rsidRPr="00000000">
              <w:rPr>
                <w:rtl w:val="0"/>
              </w:rPr>
            </w:r>
          </w:p>
        </w:tc>
      </w:tr>
      <w:tr>
        <w:trPr>
          <w:trHeight w:val="101" w:hRule="atLeast"/>
        </w:trPr>
        <w:tc>
          <w:tcPr/>
          <w:p w:rsidR="00000000" w:rsidDel="00000000" w:rsidP="00000000" w:rsidRDefault="00000000" w:rsidRPr="00000000" w14:paraId="0000002C">
            <w:pPr>
              <w:rPr>
                <w:b w:val="1"/>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POLICY: </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u w:val="none"/>
        </w:rPr>
      </w:pPr>
      <w:r w:rsidDel="00000000" w:rsidR="00000000" w:rsidRPr="00000000">
        <w:rPr>
          <w:rtl w:val="0"/>
        </w:rPr>
        <w:t xml:space="preserve">The typical APS patient is already in a pro-thrombotic, pro-inflammatory state and contact activation from the circuit will further stimulate the clotting cascade and create the potential for catastrophic APS.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u w:val="none"/>
        </w:rPr>
      </w:pPr>
      <w:r w:rsidDel="00000000" w:rsidR="00000000" w:rsidRPr="00000000">
        <w:rPr>
          <w:rtl w:val="0"/>
        </w:rPr>
        <w:t xml:space="preserve">The surgeon should determine the proposed protocol with the APS patient and caregiver team before the case.</w:t>
      </w:r>
      <w:r w:rsidDel="00000000" w:rsidR="00000000" w:rsidRPr="00000000">
        <w:rPr>
          <w:rtl w:val="0"/>
        </w:rPr>
      </w:r>
    </w:p>
    <w:p w:rsidR="00000000" w:rsidDel="00000000" w:rsidP="00000000" w:rsidRDefault="00000000" w:rsidRPr="00000000" w14:paraId="00000032">
      <w:pPr>
        <w:keepNext w:val="1"/>
        <w:tabs>
          <w:tab w:val="left" w:pos="720"/>
        </w:tabs>
        <w:spacing w:after="60" w:before="240" w:lineRule="auto"/>
        <w:rPr/>
      </w:pPr>
      <w:r w:rsidDel="00000000" w:rsidR="00000000" w:rsidRPr="00000000">
        <w:rPr>
          <w:b w:val="1"/>
          <w:rtl w:val="0"/>
        </w:rPr>
        <w:t xml:space="preserve">PERFUSION PUMP CONSIDERATIONS:</w:t>
      </w:r>
      <w:r w:rsidDel="00000000" w:rsidR="00000000" w:rsidRPr="00000000">
        <w:rPr>
          <w:rtl w:val="0"/>
        </w:rPr>
      </w:r>
    </w:p>
    <w:p w:rsidR="00000000" w:rsidDel="00000000" w:rsidP="00000000" w:rsidRDefault="00000000" w:rsidRPr="00000000" w14:paraId="00000033">
      <w:pPr>
        <w:tabs>
          <w:tab w:val="left" w:pos="0"/>
        </w:tabs>
        <w:rPr/>
      </w:pPr>
      <w:r w:rsidDel="00000000" w:rsidR="00000000" w:rsidRPr="00000000">
        <w:rPr>
          <w:b w:val="1"/>
          <w:rtl w:val="0"/>
        </w:rPr>
        <w:t xml:space="preserve">Modifications</w:t>
      </w:r>
      <w:r w:rsidDel="00000000" w:rsidR="00000000" w:rsidRPr="00000000">
        <w:rPr>
          <w:rtl w:val="0"/>
        </w:rPr>
        <w:t xml:space="preserve"> that can be made to decrease the risk catastrophic APS clotting on </w:t>
        <w:tab/>
        <w:tab/>
        <w:tab/>
        <w:t xml:space="preserve">cardiopulmonary bypass include:</w:t>
      </w:r>
    </w:p>
    <w:p w:rsidR="00000000" w:rsidDel="00000000" w:rsidP="00000000" w:rsidRDefault="00000000" w:rsidRPr="00000000" w14:paraId="00000034">
      <w:pPr>
        <w:numPr>
          <w:ilvl w:val="0"/>
          <w:numId w:val="7"/>
        </w:numPr>
        <w:tabs>
          <w:tab w:val="left" w:pos="0"/>
        </w:tabs>
        <w:ind w:left="720" w:hanging="360"/>
        <w:rPr>
          <w:u w:val="none"/>
        </w:rPr>
      </w:pPr>
      <w:r w:rsidDel="00000000" w:rsidR="00000000" w:rsidRPr="00000000">
        <w:rPr>
          <w:rtl w:val="0"/>
        </w:rPr>
        <w:t xml:space="preserve">Supra-therapeutic dose of heparin. </w:t>
      </w:r>
      <w:r w:rsidDel="00000000" w:rsidR="00000000" w:rsidRPr="00000000">
        <w:rPr>
          <w:rtl w:val="0"/>
        </w:rPr>
      </w:r>
    </w:p>
    <w:p w:rsidR="00000000" w:rsidDel="00000000" w:rsidP="00000000" w:rsidRDefault="00000000" w:rsidRPr="00000000" w14:paraId="00000035">
      <w:pPr>
        <w:numPr>
          <w:ilvl w:val="1"/>
          <w:numId w:val="7"/>
        </w:numPr>
        <w:tabs>
          <w:tab w:val="left" w:pos="0"/>
        </w:tabs>
        <w:ind w:left="1440" w:hanging="360"/>
        <w:rPr>
          <w:u w:val="none"/>
        </w:rPr>
      </w:pPr>
      <w:r w:rsidDel="00000000" w:rsidR="00000000" w:rsidRPr="00000000">
        <w:rPr>
          <w:rtl w:val="0"/>
        </w:rPr>
        <w:t xml:space="preserve">With Target ACT &gt;800 sec</w:t>
      </w:r>
      <w:r w:rsidDel="00000000" w:rsidR="00000000" w:rsidRPr="00000000">
        <w:rPr>
          <w:rtl w:val="0"/>
        </w:rPr>
      </w:r>
    </w:p>
    <w:p w:rsidR="00000000" w:rsidDel="00000000" w:rsidP="00000000" w:rsidRDefault="00000000" w:rsidRPr="00000000" w14:paraId="00000036">
      <w:pPr>
        <w:numPr>
          <w:ilvl w:val="1"/>
          <w:numId w:val="7"/>
        </w:numPr>
        <w:tabs>
          <w:tab w:val="left" w:pos="0"/>
        </w:tabs>
        <w:ind w:left="1440" w:hanging="360"/>
        <w:rPr>
          <w:u w:val="none"/>
        </w:rPr>
      </w:pPr>
      <w:r w:rsidDel="00000000" w:rsidR="00000000" w:rsidRPr="00000000">
        <w:rPr>
          <w:rtl w:val="0"/>
        </w:rPr>
        <w:t xml:space="preserve">Frequent ACT checks, every 20min</w:t>
      </w:r>
      <w:r w:rsidDel="00000000" w:rsidR="00000000" w:rsidRPr="00000000">
        <w:rPr>
          <w:rtl w:val="0"/>
        </w:rPr>
      </w:r>
    </w:p>
    <w:p w:rsidR="00000000" w:rsidDel="00000000" w:rsidP="00000000" w:rsidRDefault="00000000" w:rsidRPr="00000000" w14:paraId="00000037">
      <w:pPr>
        <w:numPr>
          <w:ilvl w:val="1"/>
          <w:numId w:val="7"/>
        </w:numPr>
        <w:tabs>
          <w:tab w:val="left" w:pos="0"/>
        </w:tabs>
        <w:ind w:left="1440" w:hanging="360"/>
        <w:rPr>
          <w:u w:val="none"/>
        </w:rPr>
      </w:pPr>
      <w:r w:rsidDel="00000000" w:rsidR="00000000" w:rsidRPr="00000000">
        <w:rPr>
          <w:rtl w:val="0"/>
        </w:rPr>
        <w:t xml:space="preserve">Draw Hep Xa levels once heparinized (depending on speed of lab and length of case, will be able to confirm heparin levels)</w:t>
      </w:r>
      <w:r w:rsidDel="00000000" w:rsidR="00000000" w:rsidRPr="00000000">
        <w:rPr>
          <w:rtl w:val="0"/>
        </w:rPr>
      </w:r>
    </w:p>
    <w:p w:rsidR="00000000" w:rsidDel="00000000" w:rsidP="00000000" w:rsidRDefault="00000000" w:rsidRPr="00000000" w14:paraId="00000038">
      <w:pPr>
        <w:numPr>
          <w:ilvl w:val="0"/>
          <w:numId w:val="7"/>
        </w:numPr>
        <w:tabs>
          <w:tab w:val="left" w:pos="0"/>
        </w:tabs>
        <w:ind w:left="720" w:hanging="360"/>
        <w:rPr>
          <w:u w:val="none"/>
        </w:rPr>
      </w:pPr>
      <w:r w:rsidDel="00000000" w:rsidR="00000000" w:rsidRPr="00000000">
        <w:rPr>
          <w:rtl w:val="0"/>
        </w:rPr>
        <w:t xml:space="preserve">No antifibrinolytics (Amicar, TXA)</w:t>
      </w:r>
      <w:r w:rsidDel="00000000" w:rsidR="00000000" w:rsidRPr="00000000">
        <w:rPr>
          <w:rtl w:val="0"/>
        </w:rPr>
      </w:r>
    </w:p>
    <w:p w:rsidR="00000000" w:rsidDel="00000000" w:rsidP="00000000" w:rsidRDefault="00000000" w:rsidRPr="00000000" w14:paraId="00000039">
      <w:pPr>
        <w:numPr>
          <w:ilvl w:val="0"/>
          <w:numId w:val="7"/>
        </w:numPr>
        <w:tabs>
          <w:tab w:val="left" w:pos="0"/>
        </w:tabs>
        <w:ind w:left="720" w:hanging="360"/>
        <w:rPr>
          <w:u w:val="none"/>
        </w:rPr>
      </w:pPr>
      <w:r w:rsidDel="00000000" w:rsidR="00000000" w:rsidRPr="00000000">
        <w:rPr>
          <w:rtl w:val="0"/>
        </w:rPr>
        <w:t xml:space="preserve">Only quarter reversal of Protamine, or less. More can always be given, too much may further create a hypercoagulable state.</w:t>
      </w:r>
      <w:r w:rsidDel="00000000" w:rsidR="00000000" w:rsidRPr="00000000">
        <w:rPr>
          <w:rtl w:val="0"/>
        </w:rPr>
      </w:r>
    </w:p>
    <w:p w:rsidR="00000000" w:rsidDel="00000000" w:rsidP="00000000" w:rsidRDefault="00000000" w:rsidRPr="00000000" w14:paraId="0000003A">
      <w:pPr>
        <w:numPr>
          <w:ilvl w:val="0"/>
          <w:numId w:val="7"/>
        </w:numPr>
        <w:tabs>
          <w:tab w:val="left" w:pos="0"/>
        </w:tabs>
        <w:ind w:left="720" w:hanging="360"/>
        <w:rPr>
          <w:u w:val="none"/>
        </w:rPr>
      </w:pPr>
      <w:r w:rsidDel="00000000" w:rsidR="00000000" w:rsidRPr="00000000">
        <w:rPr>
          <w:rtl w:val="0"/>
        </w:rPr>
        <w:t xml:space="preserve">Care should be taken with cell salvage unit and field items (basin) – clots will rapidly form</w:t>
      </w:r>
      <w:r w:rsidDel="00000000" w:rsidR="00000000" w:rsidRPr="00000000">
        <w:rPr>
          <w:rtl w:val="0"/>
        </w:rPr>
      </w:r>
    </w:p>
    <w:p w:rsidR="00000000" w:rsidDel="00000000" w:rsidP="00000000" w:rsidRDefault="00000000" w:rsidRPr="00000000" w14:paraId="0000003B">
      <w:pPr>
        <w:numPr>
          <w:ilvl w:val="0"/>
          <w:numId w:val="7"/>
        </w:numPr>
        <w:tabs>
          <w:tab w:val="left" w:pos="0"/>
        </w:tabs>
        <w:ind w:left="720" w:hanging="360"/>
        <w:rPr>
          <w:u w:val="none"/>
        </w:rPr>
      </w:pPr>
      <w:r w:rsidDel="00000000" w:rsidR="00000000" w:rsidRPr="00000000">
        <w:rPr>
          <w:rtl w:val="0"/>
        </w:rPr>
        <w:t xml:space="preserve">APS patients often have thrombocytopenia, but care should be taken if administering platelets after bypass to not trigger a massive thrombotic event.</w:t>
      </w:r>
      <w:r w:rsidDel="00000000" w:rsidR="00000000" w:rsidRPr="00000000">
        <w:rPr>
          <w:rtl w:val="0"/>
        </w:rPr>
      </w:r>
    </w:p>
    <w:p w:rsidR="00000000" w:rsidDel="00000000" w:rsidP="00000000" w:rsidRDefault="00000000" w:rsidRPr="00000000" w14:paraId="0000003C">
      <w:pPr>
        <w:tabs>
          <w:tab w:val="left" w:pos="0"/>
        </w:tabs>
        <w:rPr/>
      </w:pPr>
      <w:r w:rsidDel="00000000" w:rsidR="00000000" w:rsidRPr="00000000">
        <w:rPr>
          <w:rtl w:val="0"/>
        </w:rPr>
      </w:r>
    </w:p>
    <w:p w:rsidR="00000000" w:rsidDel="00000000" w:rsidP="00000000" w:rsidRDefault="00000000" w:rsidRPr="00000000" w14:paraId="0000003D">
      <w:pPr>
        <w:tabs>
          <w:tab w:val="left" w:pos="0"/>
        </w:tabs>
        <w:rPr/>
      </w:pPr>
      <w:r w:rsidDel="00000000" w:rsidR="00000000" w:rsidRPr="00000000">
        <w:rPr>
          <w:rtl w:val="0"/>
        </w:rPr>
        <w:t xml:space="preserve">Additional options available:</w:t>
      </w:r>
    </w:p>
    <w:p w:rsidR="00000000" w:rsidDel="00000000" w:rsidP="00000000" w:rsidRDefault="00000000" w:rsidRPr="00000000" w14:paraId="0000003E">
      <w:pPr>
        <w:numPr>
          <w:ilvl w:val="0"/>
          <w:numId w:val="1"/>
        </w:numPr>
        <w:tabs>
          <w:tab w:val="left" w:pos="0"/>
        </w:tabs>
        <w:ind w:left="720" w:hanging="360"/>
        <w:rPr>
          <w:u w:val="none"/>
        </w:rPr>
      </w:pPr>
      <w:r w:rsidDel="00000000" w:rsidR="00000000" w:rsidRPr="00000000">
        <w:rPr>
          <w:rtl w:val="0"/>
        </w:rPr>
        <w:t xml:space="preserve">Utilizing ATIII replacement therapy to increase the effectiveness of heparin dose</w:t>
      </w:r>
      <w:r w:rsidDel="00000000" w:rsidR="00000000" w:rsidRPr="00000000">
        <w:rPr>
          <w:rtl w:val="0"/>
        </w:rPr>
      </w:r>
    </w:p>
    <w:p w:rsidR="00000000" w:rsidDel="00000000" w:rsidP="00000000" w:rsidRDefault="00000000" w:rsidRPr="00000000" w14:paraId="0000003F">
      <w:pPr>
        <w:numPr>
          <w:ilvl w:val="0"/>
          <w:numId w:val="1"/>
        </w:numPr>
        <w:tabs>
          <w:tab w:val="left" w:pos="0"/>
        </w:tabs>
        <w:ind w:left="720" w:hanging="360"/>
        <w:rPr>
          <w:u w:val="none"/>
        </w:rPr>
      </w:pPr>
      <w:r w:rsidDel="00000000" w:rsidR="00000000" w:rsidRPr="00000000">
        <w:rPr>
          <w:rtl w:val="0"/>
        </w:rPr>
        <w:t xml:space="preserve">Using Bivalirudin or a direct thrombin inhibitor </w:t>
      </w:r>
      <w:r w:rsidDel="00000000" w:rsidR="00000000" w:rsidRPr="00000000">
        <w:rPr>
          <w:rtl w:val="0"/>
        </w:rPr>
      </w:r>
    </w:p>
    <w:p w:rsidR="00000000" w:rsidDel="00000000" w:rsidP="00000000" w:rsidRDefault="00000000" w:rsidRPr="00000000" w14:paraId="00000040">
      <w:pPr>
        <w:numPr>
          <w:ilvl w:val="0"/>
          <w:numId w:val="1"/>
        </w:numPr>
        <w:tabs>
          <w:tab w:val="left" w:pos="0"/>
        </w:tabs>
        <w:ind w:left="720" w:hanging="360"/>
        <w:rPr>
          <w:u w:val="none"/>
        </w:rPr>
      </w:pPr>
      <w:r w:rsidDel="00000000" w:rsidR="00000000" w:rsidRPr="00000000">
        <w:rPr>
          <w:rtl w:val="0"/>
        </w:rPr>
        <w:t xml:space="preserve">Heparin based tubing coating</w:t>
      </w:r>
      <w:r w:rsidDel="00000000" w:rsidR="00000000" w:rsidRPr="00000000">
        <w:rPr>
          <w:rtl w:val="0"/>
        </w:rPr>
      </w:r>
    </w:p>
    <w:p w:rsidR="00000000" w:rsidDel="00000000" w:rsidP="00000000" w:rsidRDefault="00000000" w:rsidRPr="00000000" w14:paraId="00000041">
      <w:pPr>
        <w:numPr>
          <w:ilvl w:val="0"/>
          <w:numId w:val="1"/>
        </w:numPr>
        <w:tabs>
          <w:tab w:val="left" w:pos="0"/>
        </w:tabs>
        <w:ind w:left="720" w:hanging="360"/>
        <w:rPr>
          <w:u w:val="none"/>
        </w:rPr>
      </w:pPr>
      <w:r w:rsidDel="00000000" w:rsidR="00000000" w:rsidRPr="00000000">
        <w:rPr>
          <w:rtl w:val="0"/>
        </w:rPr>
        <w:t xml:space="preserve">Using HMS Hepcon machine for HDR and to monitor heparin concentration in addition to standalone ACTs.</w:t>
      </w:r>
      <w:r w:rsidDel="00000000" w:rsidR="00000000" w:rsidRPr="00000000">
        <w:rPr>
          <w:rtl w:val="0"/>
        </w:rPr>
      </w:r>
    </w:p>
    <w:p w:rsidR="00000000" w:rsidDel="00000000" w:rsidP="00000000" w:rsidRDefault="00000000" w:rsidRPr="00000000" w14:paraId="00000042">
      <w:pPr>
        <w:numPr>
          <w:ilvl w:val="1"/>
          <w:numId w:val="1"/>
        </w:numPr>
        <w:tabs>
          <w:tab w:val="left" w:pos="0"/>
        </w:tabs>
        <w:ind w:left="1440" w:hanging="360"/>
        <w:rPr>
          <w:u w:val="none"/>
        </w:rPr>
      </w:pPr>
      <w:r w:rsidDel="00000000" w:rsidR="00000000" w:rsidRPr="00000000">
        <w:rPr>
          <w:rtl w:val="0"/>
        </w:rPr>
        <w:t xml:space="preserve">Manual Heparin titration using serial dilutions and ACT measurements has also been reported effective (4)</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PROCEDURE: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pPr>
      <w:r w:rsidDel="00000000" w:rsidR="00000000" w:rsidRPr="00000000">
        <w:rPr>
          <w:rtl w:val="0"/>
        </w:rPr>
        <w:t xml:space="preserve">The strategy for the perfusionist should be aimed at minimizing hypercoagulable state.</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u w:val="none"/>
        </w:rPr>
      </w:pPr>
      <w:r w:rsidDel="00000000" w:rsidR="00000000" w:rsidRPr="00000000">
        <w:rPr>
          <w:rtl w:val="0"/>
        </w:rPr>
        <w:t xml:space="preserve">Maintain ACT &gt;800 sec</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Frequent ACT checks, every 20min</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 not give antifibrinolytics (Amicar, TXA)</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Administer/recommend quarter dose reversal of Protamine, or less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Cell salvage – close attention and high drip rate of anticoagulation – will clot quickly</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u w:val="none"/>
        </w:rPr>
      </w:pPr>
      <w:r w:rsidDel="00000000" w:rsidR="00000000" w:rsidRPr="00000000">
        <w:rPr>
          <w:rtl w:val="0"/>
        </w:rPr>
        <w:t xml:space="preserve">Blood product administration – proceed with caution, potential to trigger a massive thrombotic event.</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b w:val="1"/>
          <w:rtl w:val="0"/>
        </w:rPr>
        <w:t xml:space="preserve">CLINICAL ASSESSMENT/SCREENING:</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Contraindications: None</w:t>
      </w:r>
      <w:r w:rsidDel="00000000" w:rsidR="00000000" w:rsidRPr="00000000">
        <w:rPr>
          <w:rtl w:val="0"/>
        </w:rPr>
      </w:r>
    </w:p>
    <w:p w:rsidR="00000000" w:rsidDel="00000000" w:rsidP="00000000" w:rsidRDefault="00000000" w:rsidRPr="00000000" w14:paraId="0000004D">
      <w:pPr>
        <w:pStyle w:val="Heading1"/>
        <w:rPr/>
      </w:pPr>
      <w:r w:rsidDel="00000000" w:rsidR="00000000" w:rsidRPr="00000000">
        <w:rPr>
          <w:rtl w:val="0"/>
        </w:rPr>
        <w:t xml:space="preserve">RELATED DOCUMENTS:</w:t>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rtl w:val="0"/>
        </w:rPr>
        <w:t xml:space="preserve">Angiomax/Bivalirudin Clinical Protocol </w:t>
      </w:r>
    </w:p>
    <w:p w:rsidR="00000000" w:rsidDel="00000000" w:rsidP="00000000" w:rsidRDefault="00000000" w:rsidRPr="00000000" w14:paraId="0000004F">
      <w:pPr>
        <w:pStyle w:val="Heading1"/>
        <w:rPr>
          <w:b w:val="0"/>
          <w:i w:val="1"/>
        </w:rPr>
      </w:pPr>
      <w:bookmarkStart w:colFirst="0" w:colLast="0" w:name="_heading=h.1fob9te" w:id="2"/>
      <w:bookmarkEnd w:id="2"/>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Gomez, J.A., Cervera, R. Diagnosis and Classification of the Antiphospholipid Syndrome. Journal of Autoimmunity. 2013; 48-49:20-25.</w:t>
      </w:r>
      <w:r w:rsidDel="00000000" w:rsidR="00000000" w:rsidRPr="00000000">
        <w:rPr>
          <w:rtl w:val="0"/>
        </w:rPr>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Cho H, Jeon Y, Hong DM, Kim HJ, Min JJ. Anesthetic Management of Antiphospholipid Syndrome Patients who underwent Cardiac Surgery. Korean Journal of Anesthesiology. 2014; 66(2):164-168.</w:t>
      </w:r>
      <w:r w:rsidDel="00000000" w:rsidR="00000000" w:rsidRPr="00000000">
        <w:rPr>
          <w:rtl w:val="0"/>
        </w:rPr>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Wilson WA, Gharavi AE, Koike T, Lockshin MD, Branch DW, Oiette JC, et al. International consensus statement on preliminary classification criteria for definite antiphospholipid syndrome: report of an international workshop. Arthritis Rheum. 1999; 42:1309-11. </w:t>
      </w:r>
      <w:r w:rsidDel="00000000" w:rsidR="00000000" w:rsidRPr="00000000">
        <w:rPr>
          <w:rtl w:val="0"/>
        </w:rPr>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Seki T, Shingu Y, Sugiki H, Wakasa S, Katoh H, Ooka T et al. Anticoagulation Management during Cardiopulmonary Bypass in Patients with Antiphospholipid Syndrome. Journal of Artificial Organs. 2018; (1):1-4.</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pPr>
      <w:bookmarkStart w:colFirst="0" w:colLast="0" w:name="_heading=h.3znysh7" w:id="3"/>
      <w:bookmarkEnd w:id="3"/>
      <w:r w:rsidDel="00000000" w:rsidR="00000000" w:rsidRPr="00000000">
        <w:rPr>
          <w:rtl w:val="0"/>
        </w:rPr>
        <w:t xml:space="preserve">DISCLAIMER:</w:t>
      </w:r>
    </w:p>
    <w:p w:rsidR="00000000" w:rsidDel="00000000" w:rsidP="00000000" w:rsidRDefault="00000000" w:rsidRPr="00000000" w14:paraId="00000056">
      <w:pPr>
        <w:rPr>
          <w:highlight w:val="white"/>
        </w:rPr>
      </w:pPr>
      <w:r w:rsidDel="00000000" w:rsidR="00000000" w:rsidRPr="00000000">
        <w:rPr>
          <w:highlight w:val="white"/>
          <w:rtl w:val="0"/>
        </w:rPr>
        <w:t xml:space="preserve">In emergency situations, immediate life support measures of whatever appropriate nature come first with attention turning to measures described in this protocol/process as soon as possible and practical. </w:t>
      </w:r>
    </w:p>
    <w:p w:rsidR="00000000" w:rsidDel="00000000" w:rsidP="00000000" w:rsidRDefault="00000000" w:rsidRPr="00000000" w14:paraId="00000057">
      <w:pPr>
        <w:rPr>
          <w:highlight w:val="white"/>
        </w:rPr>
      </w:pPr>
      <w:r w:rsidDel="00000000" w:rsidR="00000000" w:rsidRPr="00000000">
        <w:rPr>
          <w:rtl w:val="0"/>
        </w:rPr>
      </w:r>
    </w:p>
    <w:p w:rsidR="00000000" w:rsidDel="00000000" w:rsidP="00000000" w:rsidRDefault="00000000" w:rsidRPr="00000000" w14:paraId="00000058">
      <w:pPr>
        <w:rPr>
          <w:highlight w:val="white"/>
        </w:rPr>
      </w:pPr>
      <w:r w:rsidDel="00000000" w:rsidR="00000000" w:rsidRPr="00000000">
        <w:rPr>
          <w:highlight w:val="white"/>
          <w:rtl w:val="0"/>
        </w:rPr>
        <w:t xml:space="preserve">This is a minimal protocol/process that may be exceeded at any time based on the judgment of the involved patient care personnel. </w:t>
      </w:r>
    </w:p>
    <w:p w:rsidR="00000000" w:rsidDel="00000000" w:rsidP="00000000" w:rsidRDefault="00000000" w:rsidRPr="00000000" w14:paraId="00000059">
      <w:pPr>
        <w:rPr>
          <w:highlight w:val="white"/>
        </w:rPr>
      </w:pPr>
      <w:r w:rsidDel="00000000" w:rsidR="00000000" w:rsidRPr="00000000">
        <w:rPr>
          <w:rtl w:val="0"/>
        </w:rPr>
      </w:r>
    </w:p>
    <w:p w:rsidR="00000000" w:rsidDel="00000000" w:rsidP="00000000" w:rsidRDefault="00000000" w:rsidRPr="00000000" w14:paraId="0000005A">
      <w:pPr>
        <w:rPr>
          <w:highlight w:val="white"/>
        </w:rPr>
      </w:pPr>
      <w:r w:rsidDel="00000000" w:rsidR="00000000" w:rsidRPr="00000000">
        <w:rPr>
          <w:highlight w:val="white"/>
          <w:rtl w:val="0"/>
        </w:rPr>
        <w:t xml:space="preserve">This protocol/process encourages high quality patient care but observing it cannot guarantee any specific patient outcome. </w:t>
      </w:r>
    </w:p>
    <w:p w:rsidR="00000000" w:rsidDel="00000000" w:rsidP="00000000" w:rsidRDefault="00000000" w:rsidRPr="00000000" w14:paraId="0000005B">
      <w:pPr>
        <w:rPr>
          <w:highlight w:val="white"/>
        </w:rPr>
      </w:pPr>
      <w:r w:rsidDel="00000000" w:rsidR="00000000" w:rsidRPr="00000000">
        <w:rPr>
          <w:rtl w:val="0"/>
        </w:rPr>
      </w:r>
    </w:p>
    <w:p w:rsidR="00000000" w:rsidDel="00000000" w:rsidP="00000000" w:rsidRDefault="00000000" w:rsidRPr="00000000" w14:paraId="0000005C">
      <w:pPr>
        <w:rPr>
          <w:sz w:val="16"/>
          <w:szCs w:val="16"/>
        </w:rPr>
      </w:pPr>
      <w:r w:rsidDel="00000000" w:rsidR="00000000" w:rsidRPr="00000000">
        <w:rPr>
          <w:highlight w:val="white"/>
          <w:rtl w:val="0"/>
        </w:rPr>
        <w:t xml:space="preserve">This protocol/process is subject to revision from time to time, as warranted by the evolution of technology and practice.</w:t>
      </w:r>
      <w:r w:rsidDel="00000000" w:rsidR="00000000" w:rsidRPr="00000000">
        <w:rPr>
          <w:rtl w:val="0"/>
        </w:rPr>
      </w:r>
    </w:p>
    <w:p w:rsidR="00000000" w:rsidDel="00000000" w:rsidP="00000000" w:rsidRDefault="00000000" w:rsidRPr="00000000" w14:paraId="0000005D">
      <w:pPr>
        <w:keepLines w:val="1"/>
        <w:spacing w:after="40" w:before="40" w:lineRule="auto"/>
        <w:ind w:left="720" w:hanging="720"/>
        <w:rPr>
          <w:sz w:val="22"/>
          <w:szCs w:val="22"/>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Review period: Review as changes occur or per institutional protocol.</w:t>
      </w:r>
    </w:p>
    <w:p w:rsidR="00000000" w:rsidDel="00000000" w:rsidP="00000000" w:rsidRDefault="00000000" w:rsidRPr="00000000" w14:paraId="0000005F">
      <w:pPr>
        <w:rPr/>
      </w:pPr>
      <w:r w:rsidDel="00000000" w:rsidR="00000000" w:rsidRPr="00000000">
        <w:rPr>
          <w:rtl w:val="0"/>
        </w:rPr>
        <w:t xml:space="preserve">Original hard copies and computer copies of this protocol are stored under the supervision of the Chief Perfusionist, Department of Cardiovascular Perfusion. </w:t>
      </w:r>
    </w:p>
    <w:p w:rsidR="00000000" w:rsidDel="00000000" w:rsidP="00000000" w:rsidRDefault="00000000" w:rsidRPr="00000000" w14:paraId="00000060">
      <w:pPr>
        <w:rPr/>
      </w:pPr>
      <w:r w:rsidDel="00000000" w:rsidR="00000000" w:rsidRPr="00000000">
        <w:rPr>
          <w:rtl w:val="0"/>
        </w:rPr>
        <w:t xml:space="preserve">Documents relating to patient care standards are developed according to the accepted hospital standards.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1"/>
        <w:rPr>
          <w:color w:val="ff0000"/>
        </w:rPr>
      </w:pPr>
      <w:r w:rsidDel="00000000" w:rsidR="00000000" w:rsidRPr="00000000">
        <w:rPr>
          <w:rtl w:val="0"/>
        </w:rPr>
        <w:t xml:space="preserve">APPROVED BY: </w:t>
      </w:r>
      <w:r w:rsidDel="00000000" w:rsidR="00000000" w:rsidRPr="00000000">
        <w:rPr>
          <w:b w:val="0"/>
          <w:i w:val="1"/>
          <w:color w:val="ff0000"/>
          <w:rtl w:val="0"/>
        </w:rPr>
        <w:t xml:space="preserve">(signature of CMO and CNE only required)</w:t>
      </w:r>
      <w:r w:rsidDel="00000000" w:rsidR="00000000" w:rsidRPr="00000000">
        <w:rPr>
          <w:rtl w:val="0"/>
        </w:rPr>
      </w:r>
    </w:p>
    <w:tbl>
      <w:tblPr>
        <w:tblStyle w:val="Table2"/>
        <w:tblW w:w="9360.0" w:type="dxa"/>
        <w:jc w:val="left"/>
        <w:tblInd w:w="0.0" w:type="dxa"/>
        <w:tblLayout w:type="fixed"/>
        <w:tblLook w:val="0000"/>
      </w:tblPr>
      <w:tblGrid>
        <w:gridCol w:w="2808"/>
        <w:gridCol w:w="4860"/>
        <w:gridCol w:w="736"/>
        <w:gridCol w:w="956"/>
        <w:tblGridChange w:id="0">
          <w:tblGrid>
            <w:gridCol w:w="2808"/>
            <w:gridCol w:w="4860"/>
            <w:gridCol w:w="736"/>
            <w:gridCol w:w="956"/>
          </w:tblGrid>
        </w:tblGridChange>
      </w:tblGrid>
      <w:tr>
        <w:tc>
          <w:tcPr/>
          <w:p w:rsidR="00000000" w:rsidDel="00000000" w:rsidP="00000000" w:rsidRDefault="00000000" w:rsidRPr="00000000" w14:paraId="00000063">
            <w:pPr>
              <w:rPr/>
            </w:pPr>
            <w:bookmarkStart w:colFirst="0" w:colLast="0" w:name="_heading=h.2et92p0" w:id="4"/>
            <w:bookmarkEnd w:id="4"/>
            <w:r w:rsidDel="00000000" w:rsidR="00000000" w:rsidRPr="00000000">
              <w:rPr>
                <w:rtl w:val="0"/>
              </w:rPr>
              <w:t xml:space="preserve">Source:</w:t>
            </w:r>
          </w:p>
        </w:tc>
        <w:tc>
          <w:tcPr>
            <w:gridSpan w:val="3"/>
          </w:tcPr>
          <w:p w:rsidR="00000000" w:rsidDel="00000000" w:rsidP="00000000" w:rsidRDefault="00000000" w:rsidRPr="00000000" w14:paraId="00000064">
            <w:pPr>
              <w:rPr>
                <w:color w:val="ff0000"/>
              </w:rPr>
            </w:pPr>
            <w:r w:rsidDel="00000000" w:rsidR="00000000" w:rsidRPr="00000000">
              <w:rPr>
                <w:color w:val="ff0000"/>
                <w:rtl w:val="0"/>
              </w:rPr>
              <w:t xml:space="preserve">(originating department/committee)</w:t>
            </w:r>
          </w:p>
        </w:tc>
      </w:tr>
      <w:tr>
        <w:tc>
          <w:tcPr/>
          <w:p w:rsidR="00000000" w:rsidDel="00000000" w:rsidP="00000000" w:rsidRDefault="00000000" w:rsidRPr="00000000" w14:paraId="00000067">
            <w:pPr>
              <w:rPr/>
            </w:pPr>
            <w:r w:rsidDel="00000000" w:rsidR="00000000" w:rsidRPr="00000000">
              <w:rPr>
                <w:rtl w:val="0"/>
              </w:rPr>
              <w:t xml:space="preserve">Effective Date:</w:t>
            </w:r>
          </w:p>
        </w:tc>
        <w:tc>
          <w:tcPr>
            <w:gridSpan w:val="3"/>
          </w:tcPr>
          <w:p w:rsidR="00000000" w:rsidDel="00000000" w:rsidP="00000000" w:rsidRDefault="00000000" w:rsidRPr="00000000" w14:paraId="00000068">
            <w:pPr>
              <w:rPr>
                <w:color w:val="ff0000"/>
              </w:rPr>
            </w:pPr>
            <w:r w:rsidDel="00000000" w:rsidR="00000000" w:rsidRPr="00000000">
              <w:rPr>
                <w:color w:val="ff0000"/>
                <w:rtl w:val="0"/>
              </w:rPr>
              <w:t xml:space="preserve">(can use ‘created date’ for this)</w:t>
            </w:r>
          </w:p>
        </w:tc>
      </w:tr>
      <w:tr>
        <w:tc>
          <w:tcPr/>
          <w:p w:rsidR="00000000" w:rsidDel="00000000" w:rsidP="00000000" w:rsidRDefault="00000000" w:rsidRPr="00000000" w14:paraId="0000006B">
            <w:pPr>
              <w:rPr/>
            </w:pPr>
            <w:r w:rsidDel="00000000" w:rsidR="00000000" w:rsidRPr="00000000">
              <w:rPr>
                <w:rtl w:val="0"/>
              </w:rPr>
              <w:t xml:space="preserve">Version Number:</w:t>
            </w:r>
          </w:p>
        </w:tc>
        <w:tc>
          <w:tcPr>
            <w:gridSpan w:val="3"/>
          </w:tcPr>
          <w:p w:rsidR="00000000" w:rsidDel="00000000" w:rsidP="00000000" w:rsidRDefault="00000000" w:rsidRPr="00000000" w14:paraId="0000006C">
            <w:pPr>
              <w:rPr>
                <w:color w:val="ff0000"/>
              </w:rPr>
            </w:pPr>
            <w:r w:rsidDel="00000000" w:rsidR="00000000" w:rsidRPr="00000000">
              <w:rPr>
                <w:color w:val="ff0000"/>
                <w:rtl w:val="0"/>
              </w:rPr>
              <w:t xml:space="preserve">(should match # of revisions, use 1.0 if new document)</w:t>
            </w:r>
          </w:p>
        </w:tc>
      </w:tr>
      <w:tr>
        <w:tc>
          <w:tcPr/>
          <w:p w:rsidR="00000000" w:rsidDel="00000000" w:rsidP="00000000" w:rsidRDefault="00000000" w:rsidRPr="00000000" w14:paraId="0000006F">
            <w:pPr>
              <w:rPr/>
            </w:pPr>
            <w:r w:rsidDel="00000000" w:rsidR="00000000" w:rsidRPr="00000000">
              <w:rPr>
                <w:rtl w:val="0"/>
              </w:rPr>
              <w:t xml:space="preserve">Date Revised:</w:t>
            </w:r>
          </w:p>
        </w:tc>
        <w:tc>
          <w:tcPr>
            <w:gridSpan w:val="3"/>
          </w:tcPr>
          <w:p w:rsidR="00000000" w:rsidDel="00000000" w:rsidP="00000000" w:rsidRDefault="00000000" w:rsidRPr="00000000" w14:paraId="00000070">
            <w:pPr>
              <w:pStyle w:val="Heading4"/>
              <w:rPr>
                <w:i w:val="0"/>
              </w:rPr>
            </w:pPr>
            <w:r w:rsidDel="00000000" w:rsidR="00000000" w:rsidRPr="00000000">
              <w:rPr>
                <w:i w:val="0"/>
                <w:rtl w:val="0"/>
              </w:rPr>
              <w:t xml:space="preserve">MM/YYYY; all dates any content changes were made</w:t>
            </w:r>
          </w:p>
        </w:tc>
      </w:tr>
      <w:tr>
        <w:tc>
          <w:tcPr/>
          <w:p w:rsidR="00000000" w:rsidDel="00000000" w:rsidP="00000000" w:rsidRDefault="00000000" w:rsidRPr="00000000" w14:paraId="00000073">
            <w:pPr>
              <w:rPr/>
            </w:pPr>
            <w:r w:rsidDel="00000000" w:rsidR="00000000" w:rsidRPr="00000000">
              <w:rPr>
                <w:rtl w:val="0"/>
              </w:rPr>
              <w:t xml:space="preserve">Date Reviewed:</w:t>
            </w:r>
          </w:p>
        </w:tc>
        <w:tc>
          <w:tcPr>
            <w:gridSpan w:val="3"/>
          </w:tcPr>
          <w:p w:rsidR="00000000" w:rsidDel="00000000" w:rsidP="00000000" w:rsidRDefault="00000000" w:rsidRPr="00000000" w14:paraId="00000074">
            <w:pPr>
              <w:rPr>
                <w:color w:val="ff0000"/>
              </w:rPr>
            </w:pPr>
            <w:r w:rsidDel="00000000" w:rsidR="00000000" w:rsidRPr="00000000">
              <w:rPr>
                <w:color w:val="ff0000"/>
                <w:rtl w:val="0"/>
              </w:rPr>
              <w:t xml:space="preserve">Amb. Care PPP:</w:t>
            </w:r>
          </w:p>
          <w:p w:rsidR="00000000" w:rsidDel="00000000" w:rsidP="00000000" w:rsidRDefault="00000000" w:rsidRPr="00000000" w14:paraId="00000075">
            <w:pPr>
              <w:rPr>
                <w:color w:val="ff0000"/>
              </w:rPr>
            </w:pPr>
            <w:r w:rsidDel="00000000" w:rsidR="00000000" w:rsidRPr="00000000">
              <w:rPr>
                <w:color w:val="ff0000"/>
                <w:rtl w:val="0"/>
              </w:rPr>
              <w:t xml:space="preserve">QSOS:</w:t>
            </w:r>
          </w:p>
        </w:tc>
      </w:tr>
      <w:tr>
        <w:tc>
          <w:tcPr/>
          <w:p w:rsidR="00000000" w:rsidDel="00000000" w:rsidP="00000000" w:rsidRDefault="00000000" w:rsidRPr="00000000" w14:paraId="00000078">
            <w:pPr>
              <w:rPr/>
            </w:pPr>
            <w:r w:rsidDel="00000000" w:rsidR="00000000" w:rsidRPr="00000000">
              <w:rPr>
                <w:rtl w:val="0"/>
              </w:rPr>
            </w:r>
          </w:p>
        </w:tc>
        <w:tc>
          <w:tcPr>
            <w:gridSpan w:val="3"/>
          </w:tcPr>
          <w:p w:rsidR="00000000" w:rsidDel="00000000" w:rsidP="00000000" w:rsidRDefault="00000000" w:rsidRPr="00000000" w14:paraId="00000079">
            <w:pPr>
              <w:rPr>
                <w:i w:val="1"/>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tc>
        <w:tc>
          <w:tcPr>
            <w:vAlign w:val="bottom"/>
          </w:tcPr>
          <w:p w:rsidR="00000000" w:rsidDel="00000000" w:rsidP="00000000" w:rsidRDefault="00000000" w:rsidRPr="00000000" w14:paraId="0000007F">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80">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81">
            <w:pPr>
              <w:rPr/>
            </w:pPr>
            <w:r w:rsidDel="00000000" w:rsidR="00000000" w:rsidRPr="00000000">
              <w:rPr>
                <w:rtl w:val="0"/>
              </w:rPr>
              <w:t xml:space="preserve">&lt;Insert Name&gt;</w:t>
            </w:r>
          </w:p>
          <w:p w:rsidR="00000000" w:rsidDel="00000000" w:rsidP="00000000" w:rsidRDefault="00000000" w:rsidRPr="00000000" w14:paraId="00000082">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84">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5">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86">
            <w:pPr>
              <w:rPr/>
            </w:pPr>
            <w:r w:rsidDel="00000000" w:rsidR="00000000" w:rsidRPr="00000000">
              <w:rPr>
                <w:rtl w:val="0"/>
              </w:rPr>
            </w:r>
          </w:p>
        </w:tc>
        <w:tc>
          <w:tcPr>
            <w:vAlign w:val="bottom"/>
          </w:tcPr>
          <w:p w:rsidR="00000000" w:rsidDel="00000000" w:rsidP="00000000" w:rsidRDefault="00000000" w:rsidRPr="00000000" w14:paraId="00000088">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89">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8A">
            <w:pPr>
              <w:rPr/>
            </w:pPr>
            <w:r w:rsidDel="00000000" w:rsidR="00000000" w:rsidRPr="00000000">
              <w:rPr>
                <w:rtl w:val="0"/>
              </w:rPr>
              <w:t xml:space="preserve">&lt;Insert Name&gt;</w:t>
            </w:r>
          </w:p>
          <w:p w:rsidR="00000000" w:rsidDel="00000000" w:rsidP="00000000" w:rsidRDefault="00000000" w:rsidRPr="00000000" w14:paraId="0000008B">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8D">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E">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8F">
            <w:pPr>
              <w:rPr/>
            </w:pPr>
            <w:r w:rsidDel="00000000" w:rsidR="00000000" w:rsidRPr="00000000">
              <w:rPr>
                <w:rtl w:val="0"/>
              </w:rPr>
            </w:r>
          </w:p>
        </w:tc>
        <w:tc>
          <w:tcPr>
            <w:vAlign w:val="bottom"/>
          </w:tcPr>
          <w:p w:rsidR="00000000" w:rsidDel="00000000" w:rsidP="00000000" w:rsidRDefault="00000000" w:rsidRPr="00000000" w14:paraId="00000091">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92">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93">
            <w:pPr>
              <w:rPr/>
            </w:pPr>
            <w:r w:rsidDel="00000000" w:rsidR="00000000" w:rsidRPr="00000000">
              <w:rPr>
                <w:rtl w:val="0"/>
              </w:rPr>
              <w:t xml:space="preserve">&lt;Insert Name&gt;</w:t>
            </w:r>
          </w:p>
          <w:p w:rsidR="00000000" w:rsidDel="00000000" w:rsidP="00000000" w:rsidRDefault="00000000" w:rsidRPr="00000000" w14:paraId="00000094">
            <w:pPr>
              <w:rPr/>
            </w:pPr>
            <w:r w:rsidDel="00000000" w:rsidR="00000000" w:rsidRPr="00000000">
              <w:rPr>
                <w:rtl w:val="0"/>
              </w:rPr>
              <w:t xml:space="preserve">&lt;Insert Hospital Name&gt; Chief Medical Officer</w:t>
            </w:r>
          </w:p>
        </w:tc>
        <w:tc>
          <w:tcPr>
            <w:vAlign w:val="bottom"/>
          </w:tcPr>
          <w:p w:rsidR="00000000" w:rsidDel="00000000" w:rsidP="00000000" w:rsidRDefault="00000000" w:rsidRPr="00000000" w14:paraId="00000096">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7">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98">
            <w:pPr>
              <w:rPr/>
            </w:pPr>
            <w:r w:rsidDel="00000000" w:rsidR="00000000" w:rsidRPr="00000000">
              <w:rPr>
                <w:rtl w:val="0"/>
              </w:rPr>
            </w:r>
          </w:p>
        </w:tc>
        <w:tc>
          <w:tcPr>
            <w:vAlign w:val="bottom"/>
          </w:tcPr>
          <w:p w:rsidR="00000000" w:rsidDel="00000000" w:rsidP="00000000" w:rsidRDefault="00000000" w:rsidRPr="00000000" w14:paraId="0000009A">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9B">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9C">
            <w:pPr>
              <w:rPr/>
            </w:pPr>
            <w:r w:rsidDel="00000000" w:rsidR="00000000" w:rsidRPr="00000000">
              <w:rPr>
                <w:rtl w:val="0"/>
              </w:rPr>
              <w:t xml:space="preserve">&lt;Insert Name&gt;</w:t>
            </w:r>
          </w:p>
          <w:p w:rsidR="00000000" w:rsidDel="00000000" w:rsidP="00000000" w:rsidRDefault="00000000" w:rsidRPr="00000000" w14:paraId="0000009D">
            <w:pPr>
              <w:rPr/>
            </w:pPr>
            <w:r w:rsidDel="00000000" w:rsidR="00000000" w:rsidRPr="00000000">
              <w:rPr>
                <w:rtl w:val="0"/>
              </w:rPr>
              <w:t xml:space="preserve">&lt;Insert Hospital Name&gt; Chief Nursing Executive</w:t>
            </w:r>
          </w:p>
        </w:tc>
        <w:tc>
          <w:tcPr>
            <w:vAlign w:val="bottom"/>
          </w:tcPr>
          <w:p w:rsidR="00000000" w:rsidDel="00000000" w:rsidP="00000000" w:rsidRDefault="00000000" w:rsidRPr="00000000" w14:paraId="0000009F">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720" w:top="72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tl w:val="0"/>
      </w:rPr>
      <w:t xml:space="preserve">Antiphospholipid Syndrome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Ind w:w="0.0" w:type="dxa"/>
      <w:tblLayout w:type="fixed"/>
      <w:tblLook w:val="0000"/>
    </w:tblPr>
    <w:tblGrid>
      <w:gridCol w:w="5616"/>
      <w:gridCol w:w="429"/>
      <w:gridCol w:w="771"/>
      <w:gridCol w:w="2544"/>
      <w:tblGridChange w:id="0">
        <w:tblGrid>
          <w:gridCol w:w="5616"/>
          <w:gridCol w:w="429"/>
          <w:gridCol w:w="771"/>
          <w:gridCol w:w="2544"/>
        </w:tblGrid>
      </w:tblGridChange>
    </w:tblGrid>
    <w:tr>
      <w:trPr>
        <w:trHeight w:val="1260" w:hRule="atLeast"/>
      </w:trPr>
      <w:tc>
        <w:tcPr/>
        <w:p w:rsidR="00000000" w:rsidDel="00000000" w:rsidP="00000000" w:rsidRDefault="00000000" w:rsidRPr="00000000" w14:paraId="000000A3">
          <w:pPr>
            <w:widowControl w:val="0"/>
            <w:rPr>
              <w:sz w:val="22"/>
              <w:szCs w:val="22"/>
            </w:rPr>
          </w:pPr>
          <w:r w:rsidDel="00000000" w:rsidR="00000000" w:rsidRPr="00000000">
            <w:rPr>
              <w:rtl w:val="0"/>
            </w:rPr>
          </w:r>
        </w:p>
        <w:p w:rsidR="00000000" w:rsidDel="00000000" w:rsidP="00000000" w:rsidRDefault="00000000" w:rsidRPr="00000000" w14:paraId="000000A4">
          <w:pPr>
            <w:widowControl w:val="0"/>
            <w:jc w:val="center"/>
            <w:rPr>
              <w:sz w:val="22"/>
              <w:szCs w:val="22"/>
            </w:rPr>
          </w:pPr>
          <w:r w:rsidDel="00000000" w:rsidR="00000000" w:rsidRPr="00000000">
            <w:rPr>
              <w:sz w:val="22"/>
              <w:szCs w:val="22"/>
            </w:rPr>
            <w:drawing>
              <wp:inline distB="0" distT="0" distL="0" distR="0">
                <wp:extent cx="3429000" cy="904875"/>
                <wp:effectExtent b="0" l="0" r="0" t="0"/>
                <wp:docPr descr="A picture containing knife&#10;&#10;Description automatically generated" id="12"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3429000" cy="904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5">
          <w:pPr>
            <w:widowControl w:val="0"/>
            <w:rPr>
              <w:sz w:val="22"/>
              <w:szCs w:val="22"/>
            </w:rPr>
          </w:pPr>
          <w:r w:rsidDel="00000000" w:rsidR="00000000" w:rsidRPr="00000000">
            <w:rPr>
              <w:rtl w:val="0"/>
            </w:rPr>
          </w:r>
        </w:p>
      </w:tc>
      <w:tc>
        <w:tcPr>
          <w:gridSpan w:val="2"/>
          <w:vAlign w:val="center"/>
        </w:tcPr>
        <w:p w:rsidR="00000000" w:rsidDel="00000000" w:rsidP="00000000" w:rsidRDefault="00000000" w:rsidRPr="00000000" w14:paraId="000000A6">
          <w:pPr>
            <w:keepNext w:val="1"/>
            <w:spacing w:after="60" w:lineRule="auto"/>
            <w:ind w:right="-108"/>
            <w:jc w:val="right"/>
            <w:rPr>
              <w:b w:val="1"/>
              <w:sz w:val="28"/>
              <w:szCs w:val="28"/>
            </w:rPr>
          </w:pPr>
          <w:r w:rsidDel="00000000" w:rsidR="00000000" w:rsidRPr="00000000">
            <w:rPr>
              <w:b w:val="1"/>
              <w:sz w:val="28"/>
              <w:szCs w:val="28"/>
              <w:rtl w:val="0"/>
            </w:rPr>
            <w:t xml:space="preserve">Departmental Clinical Protocol Manual</w:t>
          </w:r>
        </w:p>
      </w:tc>
    </w:tr>
    <w:tr>
      <w:trPr>
        <w:trHeight w:val="343" w:hRule="atLeast"/>
      </w:trPr>
      <w:tc>
        <w:tcPr>
          <w:gridSpan w:val="3"/>
          <w:tcBorders>
            <w:top w:color="000000" w:space="0" w:sz="18" w:val="single"/>
            <w:bottom w:color="000000" w:space="0" w:sz="18" w:val="single"/>
          </w:tcBorders>
        </w:tcPr>
        <w:p w:rsidR="00000000" w:rsidDel="00000000" w:rsidP="00000000" w:rsidRDefault="00000000" w:rsidRPr="00000000" w14:paraId="000000A8">
          <w:pPr>
            <w:keepNext w:val="1"/>
            <w:tabs>
              <w:tab w:val="left" w:pos="4425"/>
            </w:tabs>
            <w:spacing w:after="240" w:before="240" w:line="280" w:lineRule="auto"/>
            <w:ind w:left="-108" w:firstLine="0"/>
            <w:rPr>
              <w:b w:val="1"/>
              <w:sz w:val="28"/>
              <w:szCs w:val="28"/>
            </w:rPr>
          </w:pPr>
          <w:r w:rsidDel="00000000" w:rsidR="00000000" w:rsidRPr="00000000">
            <w:rPr>
              <w:b w:val="1"/>
              <w:sz w:val="28"/>
              <w:szCs w:val="28"/>
              <w:rtl w:val="0"/>
            </w:rPr>
            <w:t xml:space="preserve">Clinical Protocol                                                  </w:t>
          </w:r>
        </w:p>
      </w:tc>
      <w:tc>
        <w:tcPr>
          <w:tcBorders>
            <w:top w:color="000000" w:space="0" w:sz="18" w:val="single"/>
            <w:bottom w:color="000000" w:space="0" w:sz="18" w:val="single"/>
          </w:tcBorders>
        </w:tcPr>
        <w:p w:rsidR="00000000" w:rsidDel="00000000" w:rsidP="00000000" w:rsidRDefault="00000000" w:rsidRPr="00000000" w14:paraId="000000AB">
          <w:pPr>
            <w:keepNext w:val="1"/>
            <w:keepLines w:val="0"/>
            <w:widowControl w:val="1"/>
            <w:pBdr>
              <w:top w:space="0" w:sz="0" w:val="nil"/>
              <w:left w:space="0" w:sz="0" w:val="nil"/>
              <w:bottom w:space="0" w:sz="0" w:val="nil"/>
              <w:right w:space="0" w:sz="0" w:val="nil"/>
              <w:between w:space="0" w:sz="0" w:val="nil"/>
            </w:pBdr>
            <w:shd w:fill="auto" w:val="clear"/>
            <w:tabs>
              <w:tab w:val="left" w:pos="4610"/>
            </w:tabs>
            <w:spacing w:after="240" w:before="240" w:line="280" w:lineRule="auto"/>
            <w:ind w:left="0" w:right="-9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CP.XX.xxx</w:t>
          </w:r>
        </w:p>
      </w:tc>
    </w:tr>
  </w:tb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56F26"/>
    <w:pPr>
      <w:spacing w:after="0" w:line="240" w:lineRule="auto"/>
    </w:pPr>
    <w:rPr>
      <w:rFonts w:ascii="Times New Roman" w:cs="Times New Roman" w:hAnsi="Times New Roman"/>
      <w:sz w:val="24"/>
    </w:rPr>
  </w:style>
  <w:style w:type="paragraph" w:styleId="Heading1">
    <w:name w:val="heading 1"/>
    <w:aliases w:val="Policy Sections"/>
    <w:basedOn w:val="Normal"/>
    <w:next w:val="Normal"/>
    <w:link w:val="Heading1Char"/>
    <w:unhideWhenUsed w:val="1"/>
    <w:qFormat w:val="1"/>
    <w:rsid w:val="00B81ABF"/>
    <w:pPr>
      <w:spacing w:after="240" w:before="240"/>
      <w:outlineLvl w:val="0"/>
    </w:pPr>
    <w:rPr>
      <w:b w:val="1"/>
    </w:rPr>
  </w:style>
  <w:style w:type="paragraph" w:styleId="Heading2">
    <w:name w:val="heading 2"/>
    <w:basedOn w:val="Normal"/>
    <w:next w:val="Normal"/>
    <w:link w:val="Heading2Char"/>
    <w:qFormat w:val="1"/>
    <w:rsid w:val="00661B8A"/>
    <w:pPr>
      <w:keepNext w:val="1"/>
      <w:outlineLvl w:val="1"/>
    </w:pPr>
    <w:rPr>
      <w:rFonts w:ascii="CG Times (WN)" w:eastAsia="Times New Roman" w:hAnsi="CG Times (WN)"/>
      <w:szCs w:val="20"/>
    </w:rPr>
  </w:style>
  <w:style w:type="paragraph" w:styleId="Heading3">
    <w:name w:val="heading 3"/>
    <w:aliases w:val="References"/>
    <w:basedOn w:val="Header"/>
    <w:next w:val="Normal"/>
    <w:link w:val="Heading3Char"/>
    <w:uiPriority w:val="9"/>
    <w:unhideWhenUsed w:val="1"/>
    <w:qFormat w:val="1"/>
    <w:rsid w:val="0016021C"/>
    <w:pPr>
      <w:tabs>
        <w:tab w:val="clear" w:pos="4680"/>
        <w:tab w:val="clear" w:pos="9360"/>
      </w:tabs>
      <w:ind w:left="1440" w:hanging="720"/>
      <w:outlineLvl w:val="2"/>
    </w:pPr>
  </w:style>
  <w:style w:type="paragraph" w:styleId="Heading4">
    <w:name w:val="heading 4"/>
    <w:basedOn w:val="Normal"/>
    <w:next w:val="Normal"/>
    <w:link w:val="Heading4Char"/>
    <w:uiPriority w:val="9"/>
    <w:unhideWhenUsed w:val="1"/>
    <w:qFormat w:val="1"/>
    <w:rsid w:val="00FE650D"/>
    <w:pPr>
      <w:keepNext w:val="1"/>
      <w:outlineLvl w:val="3"/>
    </w:pPr>
    <w:rPr>
      <w:rFonts w:eastAsia="Times New Roman"/>
      <w:i w:val="1"/>
      <w:color w:val="ff0000"/>
      <w:szCs w:val="24"/>
    </w:rPr>
  </w:style>
  <w:style w:type="paragraph" w:styleId="Heading5">
    <w:name w:val="heading 5"/>
    <w:basedOn w:val="Normal"/>
    <w:next w:val="Normal"/>
    <w:link w:val="Heading5Char"/>
    <w:uiPriority w:val="9"/>
    <w:semiHidden w:val="1"/>
    <w:unhideWhenUsed w:val="1"/>
    <w:qFormat w:val="1"/>
    <w:rsid w:val="0038553E"/>
    <w:pPr>
      <w:keepNext w:val="1"/>
      <w:keepLines w:val="1"/>
      <w:spacing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38553E"/>
    <w:pPr>
      <w:keepNext w:val="1"/>
      <w:keepLines w:val="1"/>
      <w:spacing w:before="40"/>
      <w:outlineLvl w:val="5"/>
    </w:pPr>
    <w:rPr>
      <w:rFonts w:asciiTheme="majorHAnsi" w:cstheme="majorBidi" w:eastAsiaTheme="majorEastAsia" w:hAnsiTheme="majorHAnsi"/>
      <w:color w:val="243f60" w:themeColor="accent1" w:themeShade="00007F"/>
    </w:rPr>
  </w:style>
  <w:style w:type="paragraph" w:styleId="Heading7">
    <w:name w:val="heading 7"/>
    <w:basedOn w:val="Normal"/>
    <w:next w:val="Normal"/>
    <w:link w:val="Heading7Char"/>
    <w:uiPriority w:val="9"/>
    <w:unhideWhenUsed w:val="1"/>
    <w:qFormat w:val="1"/>
    <w:rsid w:val="0038553E"/>
    <w:pPr>
      <w:keepNext w:val="1"/>
      <w:tabs>
        <w:tab w:val="left" w:pos="4610"/>
      </w:tabs>
      <w:spacing w:after="240" w:before="240" w:line="280" w:lineRule="exact"/>
      <w:ind w:right="-90"/>
      <w:jc w:val="right"/>
      <w:outlineLvl w:val="6"/>
    </w:pPr>
    <w:rPr>
      <w:rFonts w:eastAsia="Times New Roman"/>
      <w:b w:val="1"/>
      <w:bCs w:val="1"/>
      <w:iCs w:val="1"/>
      <w:sz w:val="28"/>
      <w:szCs w:val="28"/>
    </w:rPr>
  </w:style>
  <w:style w:type="paragraph" w:styleId="Heading8">
    <w:name w:val="heading 8"/>
    <w:basedOn w:val="Normal"/>
    <w:next w:val="Normal"/>
    <w:link w:val="Heading8Char"/>
    <w:uiPriority w:val="9"/>
    <w:semiHidden w:val="1"/>
    <w:unhideWhenUsed w:val="1"/>
    <w:qFormat w:val="1"/>
    <w:rsid w:val="009454EF"/>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unhideWhenUsed w:val="1"/>
    <w:qFormat w:val="1"/>
    <w:rsid w:val="009454EF"/>
    <w:pPr>
      <w:keepNext w:val="1"/>
      <w:framePr w:lines="0" w:hSpace="180" w:wrap="around" w:hAnchor="margin" w:vAnchor="text" w:y="50"/>
      <w:outlineLvl w:val="8"/>
    </w:pPr>
    <w:rPr>
      <w:i w:val="1"/>
      <w:szCs w:val="24"/>
      <w:lang w:val="nl-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56F26"/>
    <w:pPr>
      <w:ind w:left="720"/>
      <w:contextualSpacing w:val="1"/>
    </w:pPr>
  </w:style>
  <w:style w:type="paragraph" w:styleId="PolicyOutline" w:customStyle="1">
    <w:name w:val="Policy Outline"/>
    <w:basedOn w:val="ListParagraph"/>
    <w:qFormat w:val="1"/>
    <w:rsid w:val="00A23EE4"/>
    <w:pPr>
      <w:numPr>
        <w:numId w:val="6"/>
      </w:numPr>
      <w:spacing w:after="240" w:before="240"/>
      <w:contextualSpacing w:val="0"/>
    </w:pPr>
  </w:style>
  <w:style w:type="character" w:styleId="IntenseReference">
    <w:name w:val="Intense Reference"/>
    <w:basedOn w:val="DefaultParagraphFont"/>
    <w:uiPriority w:val="32"/>
    <w:rsid w:val="00EF36E8"/>
    <w:rPr>
      <w:b w:val="1"/>
      <w:bCs w:val="1"/>
      <w:smallCaps w:val="1"/>
      <w:color w:val="4f81bd" w:themeColor="accent1"/>
      <w:spacing w:val="5"/>
    </w:rPr>
  </w:style>
  <w:style w:type="character" w:styleId="Heading1Char" w:customStyle="1">
    <w:name w:val="Heading 1 Char"/>
    <w:aliases w:val="Policy Sections Char"/>
    <w:basedOn w:val="DefaultParagraphFont"/>
    <w:link w:val="Heading1"/>
    <w:rsid w:val="00B81ABF"/>
    <w:rPr>
      <w:rFonts w:ascii="Times New Roman" w:cs="Times New Roman" w:hAnsi="Times New Roman"/>
      <w:b w:val="1"/>
      <w:sz w:val="24"/>
    </w:rPr>
  </w:style>
  <w:style w:type="paragraph" w:styleId="Header">
    <w:name w:val="header"/>
    <w:basedOn w:val="Normal"/>
    <w:link w:val="HeaderChar"/>
    <w:uiPriority w:val="99"/>
    <w:unhideWhenUsed w:val="1"/>
    <w:rsid w:val="00661B8A"/>
    <w:pPr>
      <w:tabs>
        <w:tab w:val="center" w:pos="4680"/>
        <w:tab w:val="right" w:pos="9360"/>
      </w:tabs>
    </w:pPr>
  </w:style>
  <w:style w:type="character" w:styleId="HeaderChar" w:customStyle="1">
    <w:name w:val="Header Char"/>
    <w:basedOn w:val="DefaultParagraphFont"/>
    <w:link w:val="Header"/>
    <w:uiPriority w:val="99"/>
    <w:rsid w:val="00661B8A"/>
    <w:rPr>
      <w:rFonts w:ascii="Times New Roman" w:cs="Times New Roman" w:hAnsi="Times New Roman"/>
      <w:sz w:val="24"/>
    </w:rPr>
  </w:style>
  <w:style w:type="paragraph" w:styleId="Footer">
    <w:name w:val="footer"/>
    <w:basedOn w:val="Normal"/>
    <w:link w:val="FooterChar"/>
    <w:uiPriority w:val="99"/>
    <w:unhideWhenUsed w:val="1"/>
    <w:rsid w:val="00661B8A"/>
    <w:pPr>
      <w:tabs>
        <w:tab w:val="center" w:pos="4680"/>
        <w:tab w:val="right" w:pos="9360"/>
      </w:tabs>
    </w:pPr>
  </w:style>
  <w:style w:type="character" w:styleId="FooterChar" w:customStyle="1">
    <w:name w:val="Footer Char"/>
    <w:basedOn w:val="DefaultParagraphFont"/>
    <w:link w:val="Footer"/>
    <w:uiPriority w:val="99"/>
    <w:rsid w:val="00661B8A"/>
    <w:rPr>
      <w:rFonts w:ascii="Times New Roman" w:cs="Times New Roman" w:hAnsi="Times New Roman"/>
      <w:sz w:val="24"/>
    </w:rPr>
  </w:style>
  <w:style w:type="character" w:styleId="Heading2Char" w:customStyle="1">
    <w:name w:val="Heading 2 Char"/>
    <w:basedOn w:val="DefaultParagraphFont"/>
    <w:link w:val="Heading2"/>
    <w:rsid w:val="00661B8A"/>
    <w:rPr>
      <w:rFonts w:ascii="CG Times (WN)" w:cs="Times New Roman" w:eastAsia="Times New Roman" w:hAnsi="CG Times (WN)"/>
      <w:sz w:val="24"/>
      <w:szCs w:val="20"/>
    </w:rPr>
  </w:style>
  <w:style w:type="character" w:styleId="Heading3Char" w:customStyle="1">
    <w:name w:val="Heading 3 Char"/>
    <w:aliases w:val="References Char"/>
    <w:basedOn w:val="DefaultParagraphFont"/>
    <w:link w:val="Heading3"/>
    <w:uiPriority w:val="9"/>
    <w:rsid w:val="0016021C"/>
    <w:rPr>
      <w:rFonts w:ascii="Times New Roman" w:cs="Times New Roman" w:hAnsi="Times New Roman"/>
      <w:sz w:val="24"/>
    </w:rPr>
  </w:style>
  <w:style w:type="character" w:styleId="Heading4Char" w:customStyle="1">
    <w:name w:val="Heading 4 Char"/>
    <w:basedOn w:val="DefaultParagraphFont"/>
    <w:link w:val="Heading4"/>
    <w:uiPriority w:val="9"/>
    <w:rsid w:val="00FE650D"/>
    <w:rPr>
      <w:rFonts w:ascii="Times New Roman" w:cs="Times New Roman" w:eastAsia="Times New Roman" w:hAnsi="Times New Roman"/>
      <w:i w:val="1"/>
      <w:color w:val="ff0000"/>
      <w:sz w:val="24"/>
      <w:szCs w:val="24"/>
    </w:rPr>
  </w:style>
  <w:style w:type="paragraph" w:styleId="BodyText">
    <w:name w:val="Body Text"/>
    <w:basedOn w:val="Normal"/>
    <w:link w:val="BodyTextChar"/>
    <w:uiPriority w:val="99"/>
    <w:unhideWhenUsed w:val="1"/>
    <w:rsid w:val="00FE650D"/>
    <w:rPr>
      <w:i w:val="1"/>
      <w:color w:val="ff0000"/>
    </w:rPr>
  </w:style>
  <w:style w:type="character" w:styleId="BodyTextChar" w:customStyle="1">
    <w:name w:val="Body Text Char"/>
    <w:basedOn w:val="DefaultParagraphFont"/>
    <w:link w:val="BodyText"/>
    <w:uiPriority w:val="99"/>
    <w:rsid w:val="00FE650D"/>
    <w:rPr>
      <w:rFonts w:ascii="Times New Roman" w:cs="Times New Roman" w:hAnsi="Times New Roman"/>
      <w:i w:val="1"/>
      <w:color w:val="ff0000"/>
      <w:sz w:val="24"/>
    </w:rPr>
  </w:style>
  <w:style w:type="character" w:styleId="Heading5Char" w:customStyle="1">
    <w:name w:val="Heading 5 Char"/>
    <w:basedOn w:val="DefaultParagraphFont"/>
    <w:link w:val="Heading5"/>
    <w:uiPriority w:val="9"/>
    <w:semiHidden w:val="1"/>
    <w:rsid w:val="0038553E"/>
    <w:rPr>
      <w:rFonts w:asciiTheme="majorHAnsi" w:cstheme="majorBidi" w:eastAsiaTheme="majorEastAsia" w:hAnsiTheme="majorHAnsi"/>
      <w:color w:val="365f91" w:themeColor="accent1" w:themeShade="0000BF"/>
      <w:sz w:val="24"/>
    </w:rPr>
  </w:style>
  <w:style w:type="character" w:styleId="Heading6Char" w:customStyle="1">
    <w:name w:val="Heading 6 Char"/>
    <w:basedOn w:val="DefaultParagraphFont"/>
    <w:link w:val="Heading6"/>
    <w:uiPriority w:val="9"/>
    <w:semiHidden w:val="1"/>
    <w:rsid w:val="0038553E"/>
    <w:rPr>
      <w:rFonts w:asciiTheme="majorHAnsi" w:cstheme="majorBidi" w:eastAsiaTheme="majorEastAsia" w:hAnsiTheme="majorHAnsi"/>
      <w:color w:val="243f60" w:themeColor="accent1" w:themeShade="00007F"/>
      <w:sz w:val="24"/>
    </w:rPr>
  </w:style>
  <w:style w:type="character" w:styleId="Heading7Char" w:customStyle="1">
    <w:name w:val="Heading 7 Char"/>
    <w:basedOn w:val="DefaultParagraphFont"/>
    <w:link w:val="Heading7"/>
    <w:uiPriority w:val="9"/>
    <w:rsid w:val="0038553E"/>
    <w:rPr>
      <w:rFonts w:ascii="Times New Roman" w:cs="Times New Roman" w:eastAsia="Times New Roman" w:hAnsi="Times New Roman"/>
      <w:b w:val="1"/>
      <w:bCs w:val="1"/>
      <w:iCs w:val="1"/>
      <w:sz w:val="28"/>
      <w:szCs w:val="28"/>
    </w:rPr>
  </w:style>
  <w:style w:type="character" w:styleId="CommentReference">
    <w:name w:val="annotation reference"/>
    <w:basedOn w:val="DefaultParagraphFont"/>
    <w:uiPriority w:val="99"/>
    <w:semiHidden w:val="1"/>
    <w:unhideWhenUsed w:val="1"/>
    <w:rsid w:val="00B04046"/>
    <w:rPr>
      <w:sz w:val="16"/>
      <w:szCs w:val="16"/>
    </w:rPr>
  </w:style>
  <w:style w:type="paragraph" w:styleId="CommentText">
    <w:name w:val="annotation text"/>
    <w:basedOn w:val="Normal"/>
    <w:link w:val="CommentTextChar"/>
    <w:uiPriority w:val="99"/>
    <w:semiHidden w:val="1"/>
    <w:unhideWhenUsed w:val="1"/>
    <w:rsid w:val="00B04046"/>
    <w:rPr>
      <w:sz w:val="20"/>
      <w:szCs w:val="20"/>
    </w:rPr>
  </w:style>
  <w:style w:type="character" w:styleId="CommentTextChar" w:customStyle="1">
    <w:name w:val="Comment Text Char"/>
    <w:basedOn w:val="DefaultParagraphFont"/>
    <w:link w:val="CommentText"/>
    <w:uiPriority w:val="99"/>
    <w:semiHidden w:val="1"/>
    <w:rsid w:val="00B04046"/>
    <w:rPr>
      <w:rFonts w:ascii="Times New Roman" w:cs="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04046"/>
    <w:rPr>
      <w:b w:val="1"/>
      <w:bCs w:val="1"/>
    </w:rPr>
  </w:style>
  <w:style w:type="character" w:styleId="CommentSubjectChar" w:customStyle="1">
    <w:name w:val="Comment Subject Char"/>
    <w:basedOn w:val="CommentTextChar"/>
    <w:link w:val="CommentSubject"/>
    <w:uiPriority w:val="99"/>
    <w:semiHidden w:val="1"/>
    <w:rsid w:val="00B04046"/>
    <w:rPr>
      <w:rFonts w:ascii="Times New Roman" w:cs="Times New Roman" w:hAnsi="Times New Roman"/>
      <w:b w:val="1"/>
      <w:bCs w:val="1"/>
      <w:sz w:val="20"/>
      <w:szCs w:val="20"/>
    </w:rPr>
  </w:style>
  <w:style w:type="paragraph" w:styleId="BalloonText">
    <w:name w:val="Balloon Text"/>
    <w:basedOn w:val="Normal"/>
    <w:link w:val="BalloonTextChar"/>
    <w:uiPriority w:val="99"/>
    <w:semiHidden w:val="1"/>
    <w:unhideWhenUsed w:val="1"/>
    <w:rsid w:val="00B0404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4046"/>
    <w:rPr>
      <w:rFonts w:ascii="Segoe UI" w:cs="Segoe UI" w:hAnsi="Segoe UI"/>
      <w:sz w:val="18"/>
      <w:szCs w:val="18"/>
    </w:rPr>
  </w:style>
  <w:style w:type="character" w:styleId="Heading8Char" w:customStyle="1">
    <w:name w:val="Heading 8 Char"/>
    <w:basedOn w:val="DefaultParagraphFont"/>
    <w:link w:val="Heading8"/>
    <w:uiPriority w:val="9"/>
    <w:semiHidden w:val="1"/>
    <w:rsid w:val="009454EF"/>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rsid w:val="009454EF"/>
    <w:rPr>
      <w:rFonts w:ascii="Times New Roman" w:cs="Times New Roman" w:hAnsi="Times New Roman"/>
      <w:i w:val="1"/>
      <w:sz w:val="24"/>
      <w:szCs w:val="24"/>
      <w:lang w:val="nl-NL"/>
    </w:rPr>
  </w:style>
  <w:style w:type="character" w:styleId="Hyperlink">
    <w:name w:val="Hyperlink"/>
    <w:basedOn w:val="DefaultParagraphFont"/>
    <w:uiPriority w:val="99"/>
    <w:unhideWhenUsed w:val="1"/>
    <w:rsid w:val="00023B0B"/>
    <w:rPr>
      <w:color w:val="0000ff" w:themeColor="hyperlink"/>
      <w:u w:val="single"/>
    </w:rPr>
  </w:style>
  <w:style w:type="character" w:styleId="UnresolvedMention">
    <w:name w:val="Unresolved Mention"/>
    <w:basedOn w:val="DefaultParagraphFont"/>
    <w:uiPriority w:val="99"/>
    <w:semiHidden w:val="1"/>
    <w:unhideWhenUsed w:val="1"/>
    <w:rsid w:val="00023B0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c/GOCPAtsL5P9aVQhlMtVCJreA==">AMUW2mUfJ77GeiLPh5fueUWbT4/oktIp6LuVs4D686gqUIuGoFEzi+rdy5MEuoNuQHQ4pgD+A2oBRTHA96DdKdFKvExzyq0Fj25s6gZwJ+Jj6he9MDr30xrtK4B49Nl8Xx5iV6bZ1l4T0rKT+iM4mQ13N1kQZ+U5yLblTOHGRFkLVdye+krzdQpF28UICqKXW27elU81D2X6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2020-07-27T17:18:00Z</dcterms:created>
  <dc:creator>Helmick, Shahna 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0x0101004989281822E0D845A9CE63CC5ECA5922</vt:lpwstr>
  </property>
</Properties>
</file>